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«05» декабря 2024 года</w:t>
        <w:tab/>
        <w:tab/>
        <w:tab/>
        <w:tab/>
        <w:tab/>
        <w:tab/>
        <w:tab/>
        <w:tab/>
        <w:t xml:space="preserve">       № 78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предоставлении выплат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Малотроицкого 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</w:r>
      <w:r/>
    </w:p>
    <w:p>
      <w:pPr>
        <w:pStyle w:val="924"/>
        <w:ind w:left="0" w:right="0" w:firstLine="0"/>
        <w:jc w:val="left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Малотроицкого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Малотроицкого 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Малотроицкого 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1. Установить в качестве одного из видов дополнительных гарантий </w:t>
      </w:r>
      <w:r>
        <w:rPr>
          <w:i w:val="0"/>
          <w:highlight w:val="none"/>
        </w:rPr>
        <w:t xml:space="preserve">лицам, </w:t>
      </w:r>
      <w:r>
        <w:rPr>
          <w:i w:val="0"/>
          <w:highlight w:val="none"/>
        </w:rPr>
        <w:t xml:space="preserve">замещающим</w:t>
      </w:r>
      <w:r>
        <w:rPr>
          <w:i w:val="0"/>
          <w:highlight w:val="none"/>
        </w:rPr>
        <w:t xml:space="preserve"> муниципальные</w:t>
      </w:r>
      <w:r>
        <w:rPr>
          <w:i w:val="0"/>
          <w:highlight w:val="none"/>
        </w:rPr>
        <w:t xml:space="preserve"> должности</w:t>
      </w:r>
      <w:r>
        <w:rPr>
          <w:i w:val="0"/>
          <w:highlight w:val="none"/>
        </w:rPr>
        <w:t xml:space="preserve"> и</w:t>
      </w:r>
      <w:r>
        <w:rPr>
          <w:i w:val="0"/>
          <w:highlight w:val="none"/>
        </w:rPr>
        <w:t xml:space="preserve"> должности </w:t>
      </w:r>
      <w:r>
        <w:rPr>
          <w:i w:val="0"/>
          <w:highlight w:val="none"/>
        </w:rPr>
        <w:t xml:space="preserve">муниципальной службы Малотроицкого сельского поселения</w:t>
      </w:r>
      <w:r>
        <w:rPr>
          <w:i w:val="0"/>
          <w:highlight w:val="none"/>
        </w:rPr>
        <w:t xml:space="preserve"> выплату на санаторно-курортное лечение лицам,</w:t>
      </w:r>
      <w:r>
        <w:t xml:space="preserve"> </w:t>
      </w:r>
      <w:r>
        <w:rPr>
          <w:i w:val="0"/>
          <w:highlight w:val="none"/>
        </w:rPr>
        <w:t xml:space="preserve">замещающим муниципальные должности и должности муниципальной</w:t>
      </w:r>
      <w:r>
        <w:t xml:space="preserve"> </w:t>
      </w:r>
      <w:r>
        <w:rPr>
          <w:i w:val="0"/>
          <w:highlight w:val="none"/>
        </w:rPr>
        <w:t xml:space="preserve">службы Малотроицкого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Утвердить Порядок предоставления выплат на санаторно-курортное </w:t>
      </w:r>
      <w:r>
        <w:rPr>
          <w:i w:val="0"/>
          <w:highlight w:val="none"/>
        </w:rPr>
        <w:t xml:space="preserve">лечение лиц, замещающих муниципальные должности и должности</w:t>
      </w:r>
      <w:r>
        <w:t xml:space="preserve"> </w:t>
      </w:r>
      <w:r>
        <w:rPr>
          <w:i w:val="0"/>
          <w:highlight w:val="none"/>
        </w:rPr>
        <w:t xml:space="preserve">муниципальной службы Малотроицкого сельского поселения</w:t>
      </w:r>
      <w:r>
        <w:rPr>
          <w:i w:val="0"/>
          <w:highlight w:val="none"/>
        </w:rPr>
        <w:t xml:space="preserve"> (прилагается).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Установить, что финансирование расходов на предоставление </w:t>
      </w:r>
      <w:r>
        <w:rPr>
          <w:i w:val="0"/>
          <w:highlight w:val="none"/>
        </w:rPr>
        <w:t xml:space="preserve">выплат на санаторно-курортное лечение лиц, замещающих муниципальные</w:t>
      </w:r>
      <w:r>
        <w:t xml:space="preserve"> </w:t>
      </w:r>
      <w:r>
        <w:rPr>
          <w:i w:val="0"/>
          <w:highlight w:val="none"/>
        </w:rPr>
        <w:t xml:space="preserve">должности и должности муниципальной службы Малотроицкого сельского поселения</w:t>
      </w:r>
      <w:r>
        <w:rPr>
          <w:i w:val="0"/>
          <w:highlight w:val="none"/>
        </w:rPr>
        <w:t xml:space="preserve"> осуществляется в пределах</w:t>
      </w:r>
      <w:r>
        <w:t xml:space="preserve"> </w:t>
      </w:r>
      <w:r>
        <w:rPr>
          <w:i w:val="0"/>
          <w:highlight w:val="none"/>
        </w:rPr>
        <w:t xml:space="preserve">средств местного бюджета, предусмотренных на содержание</w:t>
      </w:r>
      <w:r>
        <w:t xml:space="preserve"> </w:t>
      </w:r>
      <w:r>
        <w:rPr>
          <w:i w:val="0"/>
          <w:highlight w:val="none"/>
        </w:rPr>
        <w:t xml:space="preserve">соответствующего органа местного самоуправления Малотроицкого сельского поселения, в</w:t>
      </w:r>
      <w:r>
        <w:t xml:space="preserve"> </w:t>
      </w:r>
      <w:r>
        <w:rPr>
          <w:i w:val="0"/>
          <w:highlight w:val="none"/>
        </w:rPr>
        <w:t xml:space="preserve">котором замещается соответствующая должность.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4.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</w:t>
      </w:r>
      <w:r>
        <w:rPr>
          <w:i w:val="0"/>
          <w:highlight w:val="none"/>
        </w:rPr>
        <w:t xml:space="preserve">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Малотроицкого сельского поселения в информационно-телекоммуникационной сети «Интернет» (http://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 в порядке, предусмотренном Уставом Малотроицкого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5. Настоящее решение вступает в силу после дня его официального </w:t>
      </w:r>
      <w:r>
        <w:rPr>
          <w:i w:val="0"/>
          <w:highlight w:val="none"/>
        </w:rPr>
        <w:t xml:space="preserve">опубликования, но не ранее</w:t>
      </w:r>
      <w:r>
        <w:t xml:space="preserve"> </w:t>
      </w:r>
      <w:r>
        <w:rPr>
          <w:i w:val="0"/>
          <w:highlight w:val="none"/>
        </w:rPr>
        <w:t xml:space="preserve">дня вступления в силу решения земского собрания Малотроицкого сельского поселения </w:t>
      </w:r>
      <w:r>
        <w:rPr>
          <w:i w:val="0"/>
          <w:highlight w:val="none"/>
        </w:rPr>
        <w:t xml:space="preserve">от 05.12.2024 г. № 75 «О внесении изменений в Устав Малотроицкого сельского поселения муниципального</w:t>
      </w:r>
      <w:r>
        <w:t xml:space="preserve"> </w:t>
      </w:r>
      <w:r>
        <w:rPr>
          <w:i w:val="0"/>
          <w:highlight w:val="none"/>
        </w:rPr>
        <w:t xml:space="preserve">района «Чернянский район» Белгородской области».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6. Контроль за выполнением настоящего решения возложить на главу администрации Малотроицкого сельского поселения (В.А. Нечепуренко)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b/>
          <w:bCs/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              </w:t>
      </w:r>
      <w:r>
        <w:rPr>
          <w:b/>
          <w:bCs/>
          <w:color w:val="000000"/>
          <w:szCs w:val="28"/>
          <w:highlight w:val="none"/>
        </w:rPr>
        <w:t xml:space="preserve">Н.В. Мухин</w:t>
      </w:r>
      <w:r>
        <w:rPr>
          <w:b/>
          <w:bCs/>
          <w:color w:val="000000"/>
          <w:szCs w:val="28"/>
          <w:highlight w:val="none"/>
        </w:rPr>
      </w:r>
      <w:r>
        <w:rPr>
          <w:b/>
          <w:bCs/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left="4819" w:right="0"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Приложение 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left="4819" w:right="0" w:firstLine="0"/>
        <w:jc w:val="center"/>
        <w:spacing w:before="0" w:after="0"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к решению земского собрания Малотроицкого сельского поселения муниципального района «Чернянский район» Белгородской области </w:t>
      </w:r>
      <w:r>
        <w:rPr>
          <w:color w:val="000000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24"/>
        <w:ind w:left="4819" w:right="0" w:firstLine="0"/>
        <w:jc w:val="center"/>
        <w:spacing w:before="0" w:after="0" w:line="240" w:lineRule="auto"/>
        <w:rPr>
          <w:color w:val="000000"/>
          <w:highlight w:val="none"/>
        </w:rPr>
      </w:pPr>
      <w:r>
        <w:rPr>
          <w:color w:val="000000" w:themeColor="text1"/>
          <w:highlight w:val="none"/>
        </w:rPr>
        <w:t xml:space="preserve">от 05.12.2024 г. № 78</w:t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Малотроицкого сельского поселения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 выплат на санаторно-курортное лечение лиц,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замещающих муниципальные должности и должности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службы Малотроицкого сельского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Порядок), разработан в соответствии с Трудовым кодексом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Федерации, Федеральным законом от 02.03.2007 г. № 25-ФЗ «О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службе в Российской Федерации», законом Белгородской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области от 24.09.2007 г. № 150 «Об особенностях организации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в Белгородской области», Уставом Малотроицкого сельского поселения 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района «Чернянский район» Белгородской области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сельское поселение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 и определяет условия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предоставления, размеры выплат на санаторно-курортное лечение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выплата) лиц, замещающих муниципальные должности 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2. Условия и размер выплаты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Выплата производится один раз в календарном году по месту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службы лица, замещающего муниципальную должность или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поселения, в следующих размерах: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лицам, замещающим муниципальные должности сельского поселения,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размере одного ежемесячного денежного содержания, включающего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себя должностной оклад (базовое денежное вознаграждение), ежемесячную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надбавку за особые условия исполнения полномочий и ежемесячное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денежное поощрение;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лицу, замещающему должность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главы администрации сельского поселения, - в размере одного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ежемесячного денежного содержания, включающего в себя должностной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оклад в соответствии с замещаемой должностью, надбавку за организацию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осуществления отдельных государственных полномочий,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премии по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итогам исполнения местного бюджета;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лицам, замещающим должности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- в размере одного ежемесячного денежного содержания,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включающего в себя должностной оклад в соответствии с замещаемой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должностью, оклад в соответствии с присвоенным классным чином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службы, надбавки к должностному окладу за выслугу лет на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службе, за особые условия муниципальной службы,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ежемесячное денежное поощрение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Размер выплаты за фактически отработанное время в случаях,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установленных настоящим Порядком, определяется путем деления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установленного на дату выплаты размера выплаты на количество рабочих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дней в данном году и умножения на количество отработанных рабочих дней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данный календарный год на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3. Порядок осуществления выплаты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3.1. Выплата производится при предоставлении очередного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оплачиваемого отпуска в соответствии с утвержденным графиком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отпусков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органе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на текущий календарный год, за исключением случаев,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указанных в пунктах 3.3,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.4, 3.5, 3.6 раздела 3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Выплата, предусмотренная настоящим Порядком, лицу, замещающему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должность муниципальной службы сельского поселения, производится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помимо единовременной выплаты при предоставлении муниципальному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служащему ежегодного оплачиваемого отпуска, предусмотренной решением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земского собрания Малотроицкого сельского поселения от 29.03.2024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г. № 35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оплате труда главы администрации Малотроицкого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сельского поселения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«Чернянский район»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3.2. Выплата производится на основании личного заявления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работодателю лица, замещающего муниципальную должность или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должность 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3.3. Выплата за первый календарный год службы производится за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фактически отработанное время в декабре текущего года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замещающему муниципальную должность или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поселения, проработавшему в органе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сельского поселения не менее шести месяцев, но не ранее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чем после успешного завершения испытания.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3.4. Лицу, замещающему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не использовавшему отпуск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течение текущего календарного года или не воспользовавшемуся правом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получение выплаты при предоставлении очередного оплачиваемого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выплата производится на основании личного заявления работодателю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декабре текущего года и на следующий календарный год не переносится.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3.5. Лицо, замещающее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после завершения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предоставленного в соответствии с частью 1 статьи 128, статьями 255, 256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Трудового кодекса Российской Федерации, частью 6 статьи 21 Федерального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закона от 02.03.2007 г. № 25-ФЗ «О муниципальной службе в Российской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Федерации», имеет право на выплату за фактически отработанное время в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текущем году, но не ранее чем через шесть месяцев после завершения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указанного отпуска при предоставлении ежегодного оплачиваемого отпуска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или в декабре текущего года.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3.6. Лицо, замещавшее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в текущем календарном году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перед поступлением на службу по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и получившее выплату по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предыдущему месту службы в размере, установленном в части 2.1 раздела 2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настоящего Порядка, выплата по новому месту службы в текущем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календарном году не производится.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4. Заключительные положения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4.1. Выплата производится за счет средств местного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бюджета. Расходы на выплату предусматриваются в сметах расходов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соответствующих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органов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самоуправления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сельского поселения по соответствующему коду бюджетной классификации.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4.2. Размер выплаты не учитывается при исчислении среднего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 лица, замещающего муниципальную должность и (или)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если иное не предусмотрено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действующим законодательством.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4.3. Размер выплаты не включается в размер среднемесячного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заработка, из которого исчисляется размер пенсии за выслугу лет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замещавшему муниципальную должность и (или)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4.4. Ответственность за правильность начисления и своевременность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осуществления выплаты несут соответствующие специалисты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, осуществляющие полномочия по ведению бухгалтерского учета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 органах местного самоуправления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0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modified xsi:type="dcterms:W3CDTF">2024-12-18T06:15:57Z</dcterms:modified>
</cp:coreProperties>
</file>