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/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"15" сентября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№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r/>
      <w:r/>
      <w:r/>
    </w:p>
    <w:p>
      <w:pPr>
        <w:ind w:right="1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избрании главы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pStyle w:val="1_1514"/>
        <w:ind w:firstLine="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       В соответствии  со ст.36 Федерального закона от 06.10.2003 г. № 131-ФЗ  «Об общих принципах  организации местного самоуправления  в Российской Федерации»,   ст.18  Устава </w:t>
      </w:r>
      <w:r>
        <w:rPr>
          <w:sz w:val="28"/>
          <w:szCs w:val="28"/>
        </w:rPr>
        <w:t xml:space="preserve">Малотроицкого сельского  поселения муниципального района «Чернянский район»  Белгородской области  и на основании  </w:t>
      </w:r>
      <w:r>
        <w:rPr>
          <w:sz w:val="28"/>
          <w:szCs w:val="28"/>
        </w:rPr>
        <w:t xml:space="preserve">тайного голосования  депутатов з</w:t>
      </w:r>
      <w:r>
        <w:rPr>
          <w:sz w:val="28"/>
          <w:szCs w:val="28"/>
        </w:rPr>
        <w:t xml:space="preserve">емского  собрания </w:t>
      </w:r>
      <w:r>
        <w:rPr>
          <w:sz w:val="28"/>
          <w:szCs w:val="28"/>
        </w:rPr>
        <w:t xml:space="preserve">Малотроицкого  сельского поселения  пятого созыва, земское собрание  </w:t>
      </w:r>
      <w:r>
        <w:rPr>
          <w:sz w:val="28"/>
          <w:szCs w:val="28"/>
        </w:rPr>
        <w:t xml:space="preserve">Малотроицкого сельского поселения муниципального   района    «Чернянский район» Белгородской области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еши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/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 Избрать  на должность  главы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 муниципального района 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Мухина Николая Владимировича.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Определить, что глава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председателем земского собрания и осуществляет свою деятельность на  непостоянной нештатной основе.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Обнародовать настоящее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5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Направить  настоящее  решение  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совет 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 сентября 2023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right="-5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 момента его принятия.</w:t>
      </w:r>
      <w:r>
        <w:rPr>
          <w:rFonts w:ascii="Times New Roman" w:hAnsi="Times New Roman" w:eastAsia="Times New Roman" w:cs="Times New Roman"/>
          <w:color w:val="ff0000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  <w:r/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1_1514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82</cp:revision>
  <dcterms:created xsi:type="dcterms:W3CDTF">2012-10-24T08:40:00Z</dcterms:created>
  <dcterms:modified xsi:type="dcterms:W3CDTF">2024-01-28T14:16:15Z</dcterms:modified>
</cp:coreProperties>
</file>