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ind w:left="0"/>
        <w:jc w:val="center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БЕЛГОРОДСКАЯ ОБЛАСТЬ</w:t>
      </w:r>
      <w:r/>
    </w:p>
    <w:p>
      <w:pPr>
        <w:jc w:val="center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/>
    </w:p>
    <w:p>
      <w:pPr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</w:r>
      <w:r/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highlight w:val="none"/>
        </w:rPr>
      </w:r>
    </w:p>
    <w:p>
      <w:pPr>
        <w:ind w:left="0" w:firstLine="0"/>
        <w:jc w:val="left"/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2024 г.         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54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«Устойчивое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развитие сельских территорий Малотроицкого сельского поселения Чернянского района Белгородской области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jc w:val="center"/>
        <w:spacing w:after="0" w:afterAutospacing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spacing w:after="0" w:afterAutospacing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атьей 179 Бю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джетного кодекса Российской Федерации, статьей 37 Федерального закона от 28 июня 2014 года № 172-ФЗ «О стратегическом планировании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Малотроицкого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униципальную программу «Устойчивое развитие сельских территорий Малотроицкого сельского поселения Чернянского района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Признать утратившими силу: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постановление администрации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Малотроицкого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.201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Об утверждении  муниципальной программы «Устойчивое развитие сельских территорий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Малотроицкого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сельского поселения Чернянского района Белгородской области на 2015-2020 годы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bookmarkStart w:id="0" w:name="undefined"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постановление администрации Малотроицкого сельского поселения муниципального района «Чернянский район» Белгородской области от 01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6.201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7 г. № 13 </w:t>
      </w:r>
      <w:bookmarkEnd w:id="0"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Малотроицкого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29 сентября 2014 года № 4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постановление администрации Малотроицкого сельского поселения муниципального района «Чернянский район» от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20.02.20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18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21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Малотроицкого сельского поселения муниципального района «Чернянский район» Белгородской области от 29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сентября 2014 года № 4»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bookmarkStart w:id="0" w:name="undefined"/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сельского поселения муниципального района «Чернянский район» от 18.10.2019 г. № 26 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0 годы» в новой редакции»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bookmarkEnd w:id="0"/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сельского поселения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муниципального района «Чернянский район» от 29.05.2020 г. № 17 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 годы»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pStyle w:val="784"/>
        <w:ind w:left="0" w:right="0" w:firstLine="709"/>
        <w:jc w:val="both"/>
        <w:spacing w:after="0" w:afterAutospacing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сель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ского поселения муниципального района «Чернянский район» от 31.03.2021 г. № 11 «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29 мая 2020 года №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 годы»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сель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ского поселения муниципального района «Чернянский район» от 28.02.2022 г. № 6 «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29 мая 2020 года №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 годы»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сель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ского поселения муниципального района «Чернянский район» от 20.02.2023 г. № 3 «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29 мая 2020 года №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 годы»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Arial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Малотроицкого сель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ского поселения муниципального района «Чернянский район» от 04.03.2024 г. № 18 «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«Чернянский район» Белгородской области от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29 мая 2020 года №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17 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Малотроицкого сельского поселения Чернянского района Белгородской области на 2015 -202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5 годы»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nos" w:hAnsi="Tinos" w:cs="Tinos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(http://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nos" w:hAnsi="Tinos" w:cs="Tinos"/>
          <w:sz w:val="28"/>
          <w:szCs w:val="28"/>
          <w:highlight w:val="yellow"/>
        </w:rPr>
      </w:r>
      <w:r>
        <w:rPr>
          <w:rFonts w:ascii="Tinos" w:hAnsi="Tinos" w:cs="Tinos"/>
          <w:sz w:val="28"/>
          <w:szCs w:val="28"/>
          <w:highlight w:val="yellow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97" w:firstLine="720"/>
        <w:jc w:val="both"/>
        <w:spacing w:after="0" w:afterAutospacing="0" w:line="240" w:lineRule="auto"/>
        <w:tabs>
          <w:tab w:val="left" w:pos="9360" w:leader="none"/>
        </w:tabs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pStyle w:val="965"/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48"/>
        <w:ind w:left="0" w:right="0" w:firstLine="0"/>
        <w:jc w:val="both"/>
        <w:spacing w:after="0" w:afterAutospacing="0" w:line="240" w:lineRule="auto"/>
        <w:rPr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В.А. Нечепуренко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spacing w:after="0" w:afterAutospacing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48"/>
        <w:spacing w:after="0" w:afterAutospacing="0" w:line="240" w:lineRule="auto"/>
        <w:rPr>
          <w:sz w:val="22"/>
          <w:szCs w:val="22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850" w:right="680" w:bottom="850" w:left="1701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highlight w:val="none"/>
        </w:rPr>
      </w:pPr>
      <w:r>
        <w:rPr>
          <w:b/>
          <w:bCs/>
          <w:szCs w:val="28"/>
        </w:rPr>
        <w:t xml:space="preserve">Реестр документов, входящих в состав муниципальной программы</w:t>
      </w:r>
      <w:r>
        <w:rPr>
          <w:b/>
          <w:bCs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1920"/>
        <w:gridCol w:w="1885"/>
        <w:gridCol w:w="3764"/>
        <w:gridCol w:w="1731"/>
        <w:gridCol w:w="2328"/>
        <w:gridCol w:w="2545"/>
        <w:gridCol w:w="23"/>
      </w:tblGrid>
      <w:tr>
        <w:tblPrEx/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№ п/п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Тип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Вид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Наименование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Реквизиты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Разработчик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Гиперссылка на текст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blPrEx/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4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5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6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7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gridSpan w:val="8"/>
            <w:shd w:val="clear" w:color="auto" w:fill="auto"/>
            <w:tcW w:w="14014" w:type="dxa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Муниципальная программа «</w:t>
            </w:r>
            <w:r>
              <w:rPr>
                <w:sz w:val="22"/>
                <w:szCs w:val="22"/>
              </w:rPr>
              <w:t xml:space="preserve">Устойчивое развитие сельских территорий </w:t>
            </w:r>
            <w:r>
              <w:rPr>
                <w:sz w:val="22"/>
                <w:szCs w:val="22"/>
              </w:rPr>
              <w:t xml:space="preserve">Малотроицкого сельского поселения Чернянского района </w:t>
            </w:r>
            <w:r>
              <w:rPr>
                <w:sz w:val="22"/>
                <w:szCs w:val="22"/>
              </w:rPr>
              <w:t xml:space="preserve">Белгородской области</w:t>
            </w:r>
            <w:r>
              <w:rPr>
                <w:rFonts w:eastAsia="Arial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  <w:jc w:val="center"/>
          <w:trHeight w:val="20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2"/>
              </w:rPr>
              <w:t xml:space="preserve">Паспорт муниципальной программы</w:t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Постановление администрации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«Об утверждении муниципальной программы «Устойчивое развитие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сельских территорий Малотроицкого сельского поселения Чернянского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района Белгородской области»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bCs/>
                <w:i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none"/>
              </w:rPr>
              <w:t xml:space="preserve">от 26.12.2024 г.   № 54</w:t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Администрация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7"/>
            <w:shd w:val="clear" w:color="ffffff" w:fill="ffffff"/>
            <w:tcW w:w="1460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Структурные элементы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gridAfter w:val="1"/>
          <w:trHeight w:val="1336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риятий «Повышение уровня благоустройст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ва территории»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blPrEx/>
        <w:trPr>
          <w:gridAfter w:val="1"/>
          <w:trHeight w:val="206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color w:val="000000" w:themeColor="text1"/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мероприятий 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«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Обеспечению безопасности жизнедеятельности </w:t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населения Малотроицкого сельского поселения»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Сведения о порядке сбора информации и методике расчета показателя муниципальной программы</w:t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</w:tbl>
    <w:p>
      <w:pPr>
        <w:jc w:val="left"/>
        <w:spacing w:after="0" w:afterAutospacing="0" w:line="240" w:lineRule="auto"/>
        <w:rPr>
          <w:b/>
          <w:bCs/>
          <w:highlight w:val="none"/>
        </w:rPr>
        <w:sectPr>
          <w:footnotePr/>
          <w:endnotePr/>
          <w:type w:val="nextPage"/>
          <w:pgSz w:w="16838" w:h="11906" w:orient="landscape"/>
          <w:pgMar w:top="567" w:right="1134" w:bottom="567" w:left="1134" w:header="709" w:footer="709" w:gutter="0"/>
          <w:cols w:num="1" w:sep="0" w:space="720" w:equalWidth="1"/>
          <w:docGrid w:linePitch="360"/>
        </w:sect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spacing w:after="0" w:afterAutospacing="0" w:line="240" w:lineRule="auto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Приложение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к постановлению администрации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Малотроицкого сельского поселения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от 26.12.2024 г. № 54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spacing w:after="0" w:afterAutospacing="0" w:line="240" w:lineRule="auto"/>
        <w:rPr>
          <w:b/>
          <w:bCs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Чернянского района Белгородской области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ind w:left="0" w:right="0" w:firstLine="0"/>
        <w:jc w:val="center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numPr>
          <w:ilvl w:val="0"/>
          <w:numId w:val="15"/>
        </w:numPr>
        <w:ind w:left="0" w:right="0" w:firstLine="0"/>
        <w:jc w:val="center"/>
        <w:spacing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Приоритеты и цели муниципальной политики в сфере реализации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numPr>
          <w:ilvl w:val="1"/>
          <w:numId w:val="15"/>
        </w:numPr>
        <w:ind w:left="0" w:right="0" w:firstLine="0"/>
        <w:jc w:val="center"/>
        <w:spacing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Оценка текущего состояния социально-экономического развития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Малотроицкого сельского поселения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Малотроицкое сельское поселение расположено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северо-восточной части  Белгородской области. Границы территории Малотроицкого сельского поселения установлены Законом Белгородской области </w:t>
      </w:r>
      <w:r>
        <w:rPr>
          <w:sz w:val="28"/>
          <w:szCs w:val="28"/>
        </w:rPr>
        <w:t xml:space="preserve">№ 159 от 20.12.2004 г. «Об </w:t>
      </w:r>
      <w:r>
        <w:rPr>
          <w:sz w:val="28"/>
          <w:szCs w:val="28"/>
        </w:rPr>
        <w:t xml:space="preserve">установлении границ муниципальных образований им наделение их статусом городского, сельского поселения, городского округа, муниципального района».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входят 6 населенных пунктов (село Малотроицкое, село Баклановка, село Хитрово, хутор Славянка, хутор Петровский, хутор Сукмановка), насчитывающие  699 хозяйств, с административным центром в селе Малотроицкое.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центр находится  на  расстоянии  30 км  о</w:t>
      </w:r>
      <w:r>
        <w:rPr>
          <w:sz w:val="28"/>
          <w:szCs w:val="28"/>
        </w:rPr>
        <w:t xml:space="preserve">т районного  центра. Общая  площадь  сельского поселения  составляет  9711 га. Граничит  на  севере  с  землями  Страрооскольского городского округа, на северо-востоке с Новореченским сельским поселением, на юго-востоке с Волоконовским сельским поселением,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юге  с  землями  Андреевского сел</w:t>
      </w:r>
      <w:r>
        <w:rPr>
          <w:sz w:val="28"/>
          <w:szCs w:val="28"/>
        </w:rPr>
        <w:t xml:space="preserve">ьского поселения, на юго-западе с Большанским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овражной сетью.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Численность  населения 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  <w:highlight w:val="white"/>
        </w:rPr>
        <w:t xml:space="preserve">01.01.2024 </w:t>
      </w:r>
      <w:r>
        <w:rPr>
          <w:sz w:val="28"/>
          <w:szCs w:val="28"/>
        </w:rPr>
        <w:t xml:space="preserve">года составляет </w:t>
      </w:r>
      <w:r>
        <w:rPr>
          <w:sz w:val="28"/>
          <w:szCs w:val="28"/>
          <w:highlight w:val="white"/>
        </w:rPr>
        <w:t xml:space="preserve">953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человека, в том числе д</w:t>
      </w:r>
      <w:r>
        <w:rPr>
          <w:sz w:val="28"/>
          <w:szCs w:val="28"/>
          <w:highlight w:val="white"/>
        </w:rPr>
        <w:t xml:space="preserve">етей дошкольного возраста – 35</w:t>
      </w:r>
      <w:r>
        <w:rPr>
          <w:sz w:val="28"/>
          <w:szCs w:val="28"/>
          <w:highlight w:val="white"/>
        </w:rPr>
        <w:t xml:space="preserve">, школьников - 72</w:t>
      </w:r>
      <w:r>
        <w:rPr>
          <w:sz w:val="28"/>
          <w:szCs w:val="28"/>
          <w:highlight w:val="white"/>
        </w:rPr>
        <w:t xml:space="preserve">, студентов - 19, населения трудоспособного возраста - 446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 пенсионеров  381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Демографическая ситуация в сельском поселении в целом характеризуется убылью населения, что является следствием превышения числа умерших над числом родивших.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Cs w:val="28"/>
        </w:rPr>
        <w:t xml:space="preserve">Улучшению демографической ситуации будет способствовать повышение качества жизни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  <w:t xml:space="preserve">Общая площадь поселения составляет 9711 га. Из них земли населенных пунктов – 1044 га, земли сельскохозяйственного назначения - 8487 га, земли лесного фонда - 134 га.</w:t>
      </w:r>
      <w:r>
        <w:rPr>
          <w:szCs w:val="28"/>
        </w:rPr>
        <w:t xml:space="preserve"> Почва – чернозем.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szCs w:val="28"/>
        </w:rPr>
        <w:t xml:space="preserve">Согласно Федерального закона от 06.10.2003 года № 131 -ФЗ «Об общих принципах организации местного самоуправления Российской Федерации» и Устава Малотроицкого сельского поселения структуру органов местного самоуправления составляют </w:t>
      </w:r>
      <w:r>
        <w:rPr>
          <w:szCs w:val="28"/>
        </w:rPr>
        <w:t xml:space="preserve">администрация сельского поселения и </w:t>
      </w:r>
      <w:r>
        <w:rPr>
          <w:szCs w:val="28"/>
        </w:rPr>
        <w:t xml:space="preserve">земское собрание сельского поселения, состоящее из 10 депутатов.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i/>
          <w:iCs/>
          <w:szCs w:val="28"/>
          <w:highlight w:val="white"/>
        </w:rPr>
      </w:pPr>
      <w:r>
        <w:rPr>
          <w:szCs w:val="28"/>
          <w:highlight w:val="white"/>
        </w:rPr>
        <w:t xml:space="preserve">Экономическую основу поселения составляет сельское хозяйство.</w:t>
      </w:r>
      <w:r>
        <w:rPr>
          <w:i/>
          <w:iCs/>
          <w:szCs w:val="28"/>
          <w:highlight w:val="white"/>
        </w:rPr>
        <w:t xml:space="preserve"> </w:t>
      </w:r>
      <w:r>
        <w:rPr>
          <w:i/>
          <w:iCs/>
          <w:szCs w:val="28"/>
          <w:highlight w:val="white"/>
        </w:rPr>
      </w:r>
      <w:r>
        <w:rPr>
          <w:i/>
          <w:iCs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Cs w:val="28"/>
          <w:highlight w:val="white"/>
        </w:rPr>
        <w:t xml:space="preserve">Стабильно работает на сельской территории </w:t>
      </w:r>
      <w:r>
        <w:rPr>
          <w:sz w:val="28"/>
          <w:szCs w:val="28"/>
        </w:rPr>
        <w:t xml:space="preserve">сельхозпредприятия  ООО «РусАгро Инвест», специализирующееся на растениеводстве и КФХ «Сукмановка», основные направления деятельности которого животноводство и растениеводство.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Значительная часть жителей территории занимается развитием личного подсобного хозяйства. Всего на территории расположено </w:t>
      </w:r>
      <w:r>
        <w:rPr>
          <w:b w:val="0"/>
          <w:bCs w:val="0"/>
          <w:szCs w:val="28"/>
          <w:highlight w:val="white"/>
        </w:rPr>
        <w:t xml:space="preserve">573 </w:t>
      </w:r>
      <w:r>
        <w:rPr>
          <w:szCs w:val="28"/>
          <w:highlight w:val="white"/>
        </w:rPr>
        <w:t xml:space="preserve">ЛПХ.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В селе Хитрово осуществляет деятельность промышленное предприятие ООО «Стерх».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На  территории сельского поселения  функционирует  МБОУ «СОШ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Малотроицкое», на данный момент  в  ней обучается  79 учащихся.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средней школе созданы необходимые условия для обеспечения детей горячим питанием. </w:t>
      </w:r>
      <w:r>
        <w:rPr>
          <w:sz w:val="28"/>
          <w:szCs w:val="28"/>
        </w:rPr>
        <w:t xml:space="preserve">Также при школе работает дошкольная группа, размещенная в отдельном здании.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оснащены необходимым оборудованием и укомплектованы кадрами.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церковь Святой Троицы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праздничным</w:t>
      </w:r>
      <w:r>
        <w:rPr>
          <w:rFonts w:ascii="Times New Roman" w:hAnsi="Times New Roman" w:cs="Times New Roman"/>
          <w:sz w:val="28"/>
          <w:szCs w:val="28"/>
        </w:rPr>
        <w:t xml:space="preserve"> и воскресным дням проходят литургии.</w:t>
      </w:r>
      <w:r>
        <w:rPr>
          <w:rFonts w:ascii="Times New Roman" w:hAnsi="Times New Roman" w:cs="Times New Roman"/>
          <w:sz w:val="28"/>
          <w:szCs w:val="28"/>
        </w:rPr>
        <w:t xml:space="preserve"> При храме открыта воскресная школа. Каждый понедельник учащиеся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Малотроицкой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посещают храм.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 центральный сельский Дом культуры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и клубы-библиотеки в селах Баклановка, Хитрово, Славянка, Петровский.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культуры работают  кружки для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Во всех учреждениях культуры произведен ремонт, прилегающие территории благоустроены.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работает модельная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созданы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комфортные условия для организации досуга населения и приобщению их к чтению.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здесь работают два филиала музыкальной школы по классу «баян» и «фортепиано».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 расположен музей, фонд которого насчитывает 4.700 экспонатов. </w:t>
      </w:r>
      <w:r>
        <w:rPr>
          <w:rFonts w:ascii="Times New Roman" w:hAnsi="Times New Roman" w:cs="Times New Roman"/>
          <w:sz w:val="28"/>
          <w:szCs w:val="28"/>
        </w:rPr>
        <w:t xml:space="preserve">Малотроицкий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центром, в котором проводится большая работа по патриотическому воспитанию молодёжи. Особенно любят посещать музей пенсионеры, которые являются ак</w:t>
      </w:r>
      <w:r>
        <w:rPr>
          <w:rFonts w:ascii="Times New Roman" w:hAnsi="Times New Roman" w:cs="Times New Roman"/>
          <w:sz w:val="28"/>
          <w:szCs w:val="28"/>
        </w:rPr>
        <w:t xml:space="preserve">тивными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проводимых в краеведческом музее.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оказания доступной медицинской помощи осуществляет  деятельность  офис се</w:t>
      </w:r>
      <w:r>
        <w:rPr>
          <w:rFonts w:ascii="Times New Roman" w:hAnsi="Times New Roman"/>
          <w:sz w:val="28"/>
          <w:szCs w:val="28"/>
        </w:rPr>
        <w:t xml:space="preserve">мейного врача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.М</w:t>
      </w:r>
      <w:r>
        <w:rPr>
          <w:rFonts w:ascii="Times New Roman" w:hAnsi="Times New Roman"/>
          <w:sz w:val="28"/>
          <w:szCs w:val="28"/>
        </w:rPr>
        <w:t xml:space="preserve">алотроицкое</w:t>
      </w:r>
      <w:r>
        <w:rPr>
          <w:rFonts w:ascii="Times New Roman" w:hAnsi="Times New Roman"/>
          <w:sz w:val="28"/>
          <w:szCs w:val="28"/>
        </w:rPr>
        <w:t xml:space="preserve"> и фельдшерские пункты в Баклановке, Хитрово, Славянке, Петровском.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Прилегающие к медицинским учреждениям территории благоустроены, ограждены, произведено озеленение.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60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2 спортивные площадки, на которых занимаются взрослые и дети.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отдыха жителей на</w:t>
      </w:r>
      <w:r>
        <w:rPr>
          <w:rFonts w:ascii="Times New Roman" w:hAnsi="Times New Roman" w:cs="Times New Roman"/>
          <w:sz w:val="28"/>
          <w:szCs w:val="28"/>
        </w:rPr>
        <w:t xml:space="preserve"> улице Школьная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 парк площадью 1 га. В 3-х селах установлено 5 детских площадок.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Также на территории сельского поселения работают отделения почты и сберкассы.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обеспечения пожарной безопасности поселения открыто пожарное депо.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составе расчета пожарный автомобиль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человека расчета.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территории сельского поселения работает 4 магазина </w:t>
      </w:r>
      <w:r>
        <w:rPr>
          <w:sz w:val="28"/>
          <w:szCs w:val="28"/>
        </w:rPr>
        <w:t xml:space="preserve">и автолавка.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Ассортимент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продовольственных и промышленных товаров удовлетворяет спрос жителей.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развития общественного самоуправления в с.Малотроицкое создано 2 ТОС - «Возрождение» и «Успех».</w:t>
      </w:r>
      <w:r>
        <w:rPr>
          <w:rFonts w:ascii="Times New Roman" w:hAnsi="Times New Roman" w:cs="Times New Roman"/>
          <w:sz w:val="28"/>
          <w:szCs w:val="28"/>
        </w:rPr>
        <w:t xml:space="preserve"> Во всех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территории работают сельские старосты.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color w:val="ff0000"/>
        </w:rPr>
      </w:pPr>
      <w:r>
        <w:rPr>
          <w:sz w:val="28"/>
          <w:szCs w:val="28"/>
        </w:rPr>
        <w:t xml:space="preserve">Прогноз реализации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основывается на достижении уровней ее основных показателей. Реализация стратегических приоритетов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социально-экономического развития Малотроицкого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  <w:r>
        <w:rPr>
          <w:color w:val="ff0000"/>
        </w:rPr>
      </w:r>
      <w:r>
        <w:rPr>
          <w:color w:val="ff0000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szCs w:val="28"/>
        </w:rPr>
        <w:t xml:space="preserve">Программа </w:t>
      </w:r>
      <w:r>
        <w:rPr>
          <w:szCs w:val="28"/>
        </w:rPr>
        <w:t xml:space="preserve">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</w:t>
      </w:r>
      <w:r>
        <w:rPr>
          <w:szCs w:val="28"/>
        </w:rPr>
        <w:t xml:space="preserve">с</w:t>
      </w:r>
      <w:r>
        <w:rPr>
          <w:szCs w:val="28"/>
        </w:rPr>
        <w:t xml:space="preserve">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Малотроицкого сельского поселения.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</w:rPr>
        <w:t xml:space="preserve">В целом, благодаря рациональной стратегии руководства области и района, в Малотроицком сельском поселении созданы благоприятные социально-экономические условия для комфортного проживания. 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afterAutospacing="0" w:line="240" w:lineRule="auto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в сфере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14:ligatures w14:val="none"/>
        </w:rPr>
      </w:pPr>
      <w: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14:ligatures w14:val="none"/>
        </w:rPr>
      </w:pPr>
      <w:r>
        <w:t xml:space="preserve">Система целеполагания муниципальной программы включает в себя: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  <w14:ligatures w14:val="none"/>
        </w:rPr>
      </w:pPr>
      <w:r>
        <w:t xml:space="preserve">Цель «</w:t>
      </w:r>
      <w:r>
        <w:t xml:space="preserve">Создание </w:t>
      </w:r>
      <w:r>
        <w:t xml:space="preserve">благоприятных социально-бытовых </w:t>
      </w:r>
      <w:r>
        <w:t xml:space="preserve">условий </w:t>
      </w:r>
      <w:r>
        <w:t xml:space="preserve">проживания населения на территории поселения», которая характеризуется достижением показателя- увеличение доли отдыхающих в местах отдыха </w:t>
      </w:r>
      <w:r>
        <w:rPr>
          <w:highlight w:val="white"/>
        </w:rPr>
        <w:t xml:space="preserve">к</w:t>
      </w:r>
      <w:r>
        <w:rPr>
          <w:highlight w:val="white"/>
        </w:rPr>
        <w:t xml:space="preserve"> 2030 году до 70%.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highlight w:val="white"/>
          <w14:ligatures w14:val="none"/>
        </w:rPr>
      </w:pPr>
      <w:r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«Благоустро</w:t>
      </w:r>
      <w:r>
        <w:t xml:space="preserve">йство Малотроицкого сельского поселения», в рамках которого будет реализовываться комплекс процессных мероприятий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Повышение уровня благоустройства территории</w:t>
      </w:r>
      <w:r>
        <w:rPr>
          <w:highlight w:val="white"/>
        </w:rPr>
        <w:t xml:space="preserve">».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14:ligatures w14:val="none"/>
        </w:rPr>
      </w:pPr>
      <w:r>
        <w:t xml:space="preserve">Цель «Создание условий для безопасного проживания жителей Малотроицкого сельского поселения</w:t>
      </w:r>
      <w:r>
        <w:t xml:space="preserve">»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color w:val="000000" w:themeColor="text1"/>
          <w:sz w:val="20"/>
          <w:highlight w:val="white"/>
          <w14:ligatures w14:val="none"/>
        </w:rPr>
      </w:pPr>
      <w:r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</w:t>
      </w:r>
      <w:r>
        <w:t xml:space="preserve">«</w:t>
      </w:r>
      <w:r>
        <w:t xml:space="preserve">Обеспечение безопасности жизнедеятельности населения</w:t>
      </w:r>
      <w:r>
        <w:t xml:space="preserve"> Малотроицкого сельского поселения», в рамках которого будет реализовываться комплекс процессных мероприятий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Обеспечению безопасности жизнедеятельности </w:t>
      </w:r>
      <w:r>
        <w:rPr>
          <w:highlight w:val="white"/>
        </w:rPr>
        <w:t xml:space="preserve">населения Малотроицкого сельского поселения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которая характеризуется достижением показателя – площадь территории, подвергшаяся пожарам до 2 гектаров к 2030 году.</w:t>
      </w:r>
      <w:r>
        <w:rPr>
          <w:color w:val="000000" w:themeColor="text1"/>
          <w:sz w:val="20"/>
          <w:highlight w:val="white"/>
          <w14:ligatures w14:val="none"/>
        </w:rPr>
      </w:r>
      <w:r>
        <w:rPr>
          <w:color w:val="000000" w:themeColor="text1"/>
          <w:sz w:val="20"/>
          <w:highlight w:val="white"/>
          <w14:ligatures w14:val="none"/>
        </w:rPr>
      </w:r>
    </w:p>
    <w:p>
      <w:pPr>
        <w:ind w:firstLine="0"/>
        <w:jc w:val="both"/>
        <w:spacing w:after="0" w:afterAutospacing="0" w:line="240" w:lineRule="auto"/>
        <w:tabs>
          <w:tab w:val="left" w:pos="993" w:leader="none"/>
        </w:tabs>
        <w:rPr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jc w:val="center"/>
        <w:spacing w:after="0" w:afterAutospacing="0"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afterAutospacing="0" w:line="240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6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7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after="0" w:afterAutospacing="0"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szCs w:val="28"/>
        </w:rPr>
        <w:t xml:space="preserve">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области», </w:t>
      </w:r>
      <w:r>
        <w:t xml:space="preserve">«</w:t>
      </w:r>
      <w:r>
        <w:t xml:space="preserve">Обеспечение безопасности жизнедеятельности населения и территорий </w:t>
      </w:r>
      <w:r>
        <w:t xml:space="preserve">Чернянского района</w:t>
      </w:r>
      <w:r>
        <w:t xml:space="preserve">» </w:t>
      </w:r>
      <w:r>
        <w:t xml:space="preserve">Белгородской области»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Малотроицкого сельского </w:t>
      </w:r>
      <w:r>
        <w:rPr>
          <w:szCs w:val="28"/>
        </w:rPr>
        <w:t xml:space="preserve">поселения» определена ключевая задача «Обеспечение привлекательности сельской местности для комфортного проживания населения», способом эффективного решения данной задачи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pStyle w:val="748"/>
        <w:ind w:left="0" w:right="0" w:firstLine="709"/>
        <w:jc w:val="both"/>
        <w:spacing w:after="0" w:afterAutospacing="0" w:line="240" w:lineRule="auto"/>
        <w:rPr>
          <w:b w:val="0"/>
          <w:bCs w:val="0"/>
          <w:color w:val="000000" w:themeColor="text1"/>
          <w14:ligatures w14:val="none"/>
        </w:rPr>
      </w:pPr>
      <w:r>
        <w:rPr>
          <w:b w:val="0"/>
          <w:bCs w:val="0"/>
          <w:color w:val="000000" w:themeColor="text1"/>
          <w:szCs w:val="28"/>
        </w:rPr>
        <w:t xml:space="preserve">По направлению (по</w:t>
      </w:r>
      <w:r>
        <w:rPr>
          <w:b w:val="0"/>
          <w:bCs w:val="0"/>
          <w:color w:val="000000" w:themeColor="text1"/>
        </w:rPr>
        <w:t xml:space="preserve">дпрограмме) </w:t>
      </w:r>
      <w:r>
        <w:rPr>
          <w:b w:val="0"/>
          <w:bCs w:val="0"/>
          <w:color w:val="000000" w:themeColor="text1"/>
        </w:rPr>
        <w:t xml:space="preserve">«Обеспечение безопасности жизнедеятельности населения Малотроицкого сельского поселения </w:t>
      </w:r>
      <w:r>
        <w:rPr>
          <w:b w:val="0"/>
          <w:bCs w:val="0"/>
          <w:color w:val="000000" w:themeColor="text1"/>
        </w:rPr>
        <w:t xml:space="preserve">определена ключевая задача: </w:t>
      </w:r>
      <w:r>
        <w:rPr>
          <w:b w:val="0"/>
          <w:bCs w:val="0"/>
          <w:color w:val="000000" w:themeColor="text1"/>
        </w:rPr>
        <w:t xml:space="preserve">создание условий для безопасного проживания жителей Малотроицкого сельского поселения</w:t>
      </w:r>
      <w:r>
        <w:rPr>
          <w:b w:val="0"/>
          <w:bCs w:val="0"/>
          <w:color w:val="000000" w:themeColor="text1"/>
        </w:rPr>
        <w:t xml:space="preserve">.</w:t>
      </w:r>
      <w:r>
        <w:rPr>
          <w:b w:val="0"/>
          <w:bCs w:val="0"/>
          <w:color w:val="000000" w:themeColor="text1"/>
          <w14:ligatures w14:val="none"/>
        </w:rPr>
      </w:r>
      <w:r>
        <w:rPr>
          <w:b w:val="0"/>
          <w:bCs w:val="0"/>
          <w:color w:val="000000" w:themeColor="text1"/>
          <w14:ligatures w14:val="none"/>
        </w:rPr>
      </w:r>
    </w:p>
    <w:p>
      <w:pPr>
        <w:spacing w:after="0" w:afterAutospacing="0" w:line="240" w:lineRule="auto"/>
      </w:pPr>
      <w:r/>
      <w:r/>
    </w:p>
    <w:p>
      <w:pPr>
        <w:pStyle w:val="748"/>
        <w:jc w:val="left"/>
        <w:spacing w:after="0" w:afterAutospacing="0" w:line="240" w:lineRule="auto"/>
        <w:rPr>
          <w:sz w:val="22"/>
          <w:szCs w:val="22"/>
        </w:rPr>
        <w:sectPr>
          <w:footnotePr/>
          <w:endnotePr/>
          <w:type w:val="nextPage"/>
          <w:pgSz w:w="11906" w:h="16838" w:orient="portrait"/>
          <w:pgMar w:top="850" w:right="567" w:bottom="850" w:left="1701" w:header="709" w:footer="709" w:gutter="0"/>
          <w:cols w:num="1" w:sep="0" w:space="720" w:equalWidth="1"/>
          <w:docGrid w:linePitch="360"/>
        </w:sect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Паспорт муниципальной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1. Основные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952" w:type="pct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8"/>
        <w:gridCol w:w="5447"/>
        <w:gridCol w:w="5302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Нечепуренко Валерий Алексеевич - глава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Шевцова Татьяна Николаевна - главный специалист-управляющая делами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2025 -2030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Цель(и)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1. «Создание благоприятных социально-бытовых условий проживания населения на территории Малотроицкого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spacing w:after="0" w:afterAutospacing="0" w:line="240" w:lineRule="auto"/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2. «Создание условий для безопасного проживания жителей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 </w:t>
            </w:r>
            <w:r>
              <w:rPr>
                <w:color w:val="000000" w:themeColor="text1"/>
                <w:sz w:val="22"/>
                <w:szCs w:val="22"/>
              </w:rPr>
              <w:t xml:space="preserve">«Благоустройство территории Малотроицкого сельского поселения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Направление (подпрограмма) </w:t>
            </w:r>
            <w:r>
              <w:rPr>
                <w:color w:val="000000" w:themeColor="text1"/>
                <w:sz w:val="22"/>
                <w:szCs w:val="22"/>
              </w:rPr>
              <w:t xml:space="preserve">«Обеспечение безопасности жизнедеятельности населения Малотроицкого   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/>
            <w:r/>
          </w:p>
          <w:p>
            <w:pPr>
              <w:spacing w:after="0" w:afterAutospacing="0" w:line="240" w:lineRule="auto"/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24715,8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-местный бюджет</w:t>
            </w:r>
            <w:r>
              <w:rPr>
                <w:color w:val="000000"/>
                <w:sz w:val="20"/>
                <w:highlight w:val="white"/>
              </w:rPr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-внебюджетные источники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</w:t>
            </w:r>
            <w:r>
              <w:rPr>
                <w:sz w:val="22"/>
                <w:szCs w:val="22"/>
              </w:rPr>
              <w:t xml:space="preserve">муниципальной программой Чернянского района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Наименование национальной цели</w:t>
            </w:r>
            <w:r>
              <w:rPr>
                <w:sz w:val="22"/>
                <w:szCs w:val="22"/>
              </w:rPr>
              <w:t xml:space="preserve">: «Комфортная и безопасная среда для жизни».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Показатель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национальной цели:</w:t>
            </w:r>
            <w:r>
              <w:rPr>
                <w:sz w:val="22"/>
                <w:szCs w:val="22"/>
              </w:rPr>
              <w:t xml:space="preserve">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       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22"/>
                <w:szCs w:val="22"/>
              </w:rPr>
              <w:br/>
              <w:t xml:space="preserve">Белгородской области»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7030a0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Чернянского</w:t>
            </w:r>
            <w:r>
              <w:rPr>
                <w:color w:val="000000" w:themeColor="text1"/>
                <w:sz w:val="22"/>
                <w:szCs w:val="22"/>
              </w:rPr>
              <w:t xml:space="preserve"> района» Белгородской области»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sz w:val="22"/>
                <w:szCs w:val="22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2. Показатели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Ind w:w="1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"/>
        <w:gridCol w:w="1343"/>
        <w:gridCol w:w="945"/>
        <w:gridCol w:w="1207"/>
        <w:gridCol w:w="754"/>
        <w:gridCol w:w="753"/>
        <w:gridCol w:w="602"/>
        <w:gridCol w:w="414"/>
        <w:gridCol w:w="58"/>
        <w:gridCol w:w="475"/>
        <w:gridCol w:w="602"/>
        <w:gridCol w:w="602"/>
        <w:gridCol w:w="431"/>
        <w:gridCol w:w="58"/>
        <w:gridCol w:w="442"/>
        <w:gridCol w:w="997"/>
        <w:gridCol w:w="1219"/>
        <w:gridCol w:w="1875"/>
        <w:gridCol w:w="47"/>
        <w:gridCol w:w="1906"/>
      </w:tblGrid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spacing w:after="0" w:afterAutospacing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blPrEx/>
        <w:trPr>
          <w:cantSplit/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btLr"/>
            <w:noWrap w:val="false"/>
          </w:tcPr>
          <w:p>
            <w:pPr>
              <w:ind w:left="113" w:right="113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1. Цель муниципальной программы: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szCs w:val="28"/>
              </w:rPr>
              <w:t xml:space="preserve">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32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pStyle w:val="951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«П» 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70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-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Администрация Малотроицкого сельского поселения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  <w:p>
            <w:pPr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 «Комфортная и безопасная среда для жизни»/Показатель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i/>
                <w:strike/>
                <w:spacing w:val="-2"/>
                <w:sz w:val="20"/>
              </w:rPr>
            </w:pP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</w:p>
          <w:p>
            <w:pPr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18"/>
                <w:szCs w:val="18"/>
              </w:rPr>
              <w:br/>
              <w:t xml:space="preserve">Белгородской области»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</w:pPr>
            <w:r/>
            <w:r/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</w:pPr>
            <w:r>
              <w:rPr>
                <w:szCs w:val="28"/>
              </w:rPr>
              <w:t xml:space="preserve">     </w:t>
            </w:r>
            <w:r/>
          </w:p>
          <w:p>
            <w:pPr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посещаемос-ти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процент</w:t>
            </w:r>
            <w:r>
              <w:rPr>
                <w:bCs/>
                <w:i/>
                <w:spacing w:val="-2"/>
                <w:sz w:val="16"/>
                <w:szCs w:val="16"/>
              </w:rPr>
            </w:r>
            <w:r>
              <w:rPr>
                <w:bCs/>
                <w:i/>
                <w:spacing w:val="-2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rPr>
                <w:bCs/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    23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27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29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32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-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626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 2. Цель муниципальной программы :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Создание условий для безопасного проживания жителей сельского поселения</w:t>
            </w:r>
            <w:r/>
          </w:p>
        </w:tc>
      </w:tr>
      <w:tr>
        <w:tblPrEx/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Cs/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Площадь территории, подвергающаяся  пожарам</w:t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Cs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bCs/>
                <w:sz w:val="20"/>
                <w14:ligatures w14:val="none"/>
              </w:rPr>
            </w:r>
            <w:r>
              <w:rPr>
                <w:bCs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МП</w:t>
            </w:r>
            <w:r>
              <w:rPr>
                <w:i/>
                <w:spacing w:val="-2"/>
                <w:sz w:val="20"/>
                <w14:ligatures w14:val="none"/>
              </w:rPr>
            </w:r>
            <w:r>
              <w:rPr>
                <w:i/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Гектары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дминистрация Малотроицкого сельского поселения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Национальная цель: </w:t>
            </w:r>
            <w:r>
              <w:rPr>
                <w:sz w:val="18"/>
                <w:szCs w:val="18"/>
              </w:rPr>
              <w:t xml:space="preserve"> «Комфортная и безопасная среда для жизни»/Показатель 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«Уменьшение территории, подвергшейся пожарам до 2 га  к 2030 году»</w:t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sz w:val="18"/>
                <w:szCs w:val="18"/>
              </w:rPr>
              <w:t xml:space="preserve">Чернянского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района» Белгородской области»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Cs w:val="28"/>
        </w:rPr>
      </w:pPr>
      <w:r>
        <w:rPr>
          <w:b/>
          <w:bCs/>
          <w:szCs w:val="28"/>
        </w:rPr>
        <w:t xml:space="preserve">3. Помесячный план достижения показателей муниципальной программы в 2025 году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</w:pPr>
      <w:r/>
      <w:r/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3951"/>
        <w:gridCol w:w="1098"/>
        <w:gridCol w:w="1370"/>
        <w:gridCol w:w="550"/>
        <w:gridCol w:w="550"/>
        <w:gridCol w:w="550"/>
        <w:gridCol w:w="550"/>
        <w:gridCol w:w="550"/>
        <w:gridCol w:w="551"/>
        <w:gridCol w:w="551"/>
        <w:gridCol w:w="550"/>
        <w:gridCol w:w="550"/>
        <w:gridCol w:w="550"/>
        <w:gridCol w:w="550"/>
        <w:gridCol w:w="1570"/>
      </w:tblGrid>
      <w:tr>
        <w:tblPrEx/>
        <w:trPr>
          <w:trHeight w:val="283"/>
          <w:tblHeader/>
        </w:trPr>
        <w:tc>
          <w:tcPr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60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83"/>
          <w:tblHeader/>
        </w:trPr>
        <w:tc>
          <w:tcPr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4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15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pStyle w:val="951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3"/>
        <w:gridCol w:w="3969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76"/>
        <w:gridCol w:w="558"/>
        <w:gridCol w:w="567"/>
        <w:gridCol w:w="1565"/>
      </w:tblGrid>
      <w:tr>
        <w:tblPrEx/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3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Создание условий для безопасного проживания жителей Малотроицкого сельского поселения </w:t>
            </w:r>
            <w:r>
              <w:rPr>
                <w:b/>
                <w:color w:val="000000" w:themeColor="text1"/>
                <w:sz w:val="20"/>
              </w:rPr>
            </w:r>
            <w:r>
              <w:rPr>
                <w:b/>
                <w:color w:val="000000" w:themeColor="text1"/>
                <w:sz w:val="20"/>
              </w:rPr>
            </w:r>
          </w:p>
        </w:tc>
      </w:tr>
      <w:tr>
        <w:tblPrEx/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/>
          </w:tcPr>
          <w:p>
            <w:pPr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r>
              <w:rPr>
                <w:sz w:val="20"/>
              </w:rPr>
              <w:t xml:space="preserve">территории</w:t>
            </w:r>
            <w:r>
              <w:rPr>
                <w:sz w:val="20"/>
              </w:rPr>
              <w:t xml:space="preserve"> подвергающаяся  пожарам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МП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гектары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tabs>
                <w:tab w:val="left" w:pos="993" w:leader="none"/>
              </w:tabs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4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</w:tbl>
    <w:p>
      <w:pPr>
        <w:spacing w:after="0" w:afterAutospacing="0" w:line="240" w:lineRule="auto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4. Структура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W w:w="51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5820"/>
        <w:gridCol w:w="4901"/>
        <w:gridCol w:w="3651"/>
      </w:tblGrid>
      <w:tr>
        <w:tblPrEx/>
        <w:trPr>
          <w:trHeight w:val="669"/>
          <w:tblHeader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Связь с показателями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9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 Направл</w:t>
            </w:r>
            <w:r>
              <w:rPr>
                <w:sz w:val="20"/>
                <w:szCs w:val="20"/>
              </w:rPr>
              <w:t xml:space="preserve">ение «</w:t>
            </w:r>
            <w:r>
              <w:rPr>
                <w:sz w:val="20"/>
                <w:szCs w:val="20"/>
              </w:rPr>
              <w:t xml:space="preserve">Благоуст</w:t>
            </w:r>
            <w:r>
              <w:rPr>
                <w:sz w:val="22"/>
                <w:szCs w:val="22"/>
              </w:rPr>
              <w:t xml:space="preserve">ройство Малотроицкого сельского поселения»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Комплекс процессных мероприятий </w:t>
            </w:r>
            <w:r>
              <w:rPr>
                <w:rStyle w:val="962"/>
                <w:rFonts w:eastAsia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«Повышение уровня благоустройства территории»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auto"/>
            <w:tcW w:w="85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1.M.1.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Задача </w:t>
            </w:r>
            <w:r>
              <w:rPr>
                <w:szCs w:val="28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</w:t>
            </w:r>
            <w:r>
              <w:rPr>
                <w:sz w:val="22"/>
                <w:szCs w:val="22"/>
              </w:rPr>
              <w:t xml:space="preserve">комфортного проживания населения»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pStyle w:val="961"/>
              <w:ind w:left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 рамках реализации основного мероприятия планируется улучшение </w:t>
            </w:r>
            <w:r>
              <w:rPr>
                <w:rFonts w:ascii="Times New Roman" w:hAnsi="Times New Roman" w:cs="Times New Roman"/>
              </w:rPr>
              <w:t xml:space="preserve">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</w:t>
            </w:r>
            <w:r>
              <w:rPr>
                <w:rFonts w:ascii="Times New Roman" w:hAnsi="Times New Roman" w:cs="Times New Roman"/>
              </w:rPr>
              <w:t xml:space="preserve">я решений проблем по благоустройству населенных пунктов поселения необходимо использовать программно-целевой метод, комплексное решение проблемы окажет положительный эффект на санитарно-эпидемиологическую обстановку и будет способствовать повышению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комфортного проживания.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spacing w:after="0" w:afterAutospacing="0" w:line="240" w:lineRule="auto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afterAutospacing="0" w:line="240" w:lineRule="auto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spacing w:after="0" w:afterAutospacing="0" w:line="240" w:lineRule="auto"/>
              <w:widowControl w:val="off"/>
              <w:rPr>
                <w:strike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</w:p>
        </w:tc>
      </w:tr>
    </w:tbl>
    <w:tbl>
      <w:tblPr>
        <w:tblStyle w:val="953"/>
        <w:tblW w:w="51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1"/>
        <w:gridCol w:w="6949"/>
        <w:gridCol w:w="1554"/>
      </w:tblGrid>
      <w:tr>
        <w:tblPrEx/>
        <w:trPr>
          <w:trHeight w:val="447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Направление (подпрограмма)  </w:t>
            </w:r>
            <w:r>
              <w:rPr>
                <w:color w:val="000000" w:themeColor="text1"/>
                <w:sz w:val="20"/>
              </w:rPr>
              <w:t xml:space="preserve">«Обеспечение безопасности жизнедеятельности населения Малотроицкого сельского поселения»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color w:val="000000" w:themeColor="text1"/>
                <w:sz w:val="20"/>
                <w14:ligatures w14:val="none"/>
              </w:rPr>
            </w:pPr>
            <w:r>
              <w:rPr>
                <w:color w:val="000000" w:themeColor="text1"/>
                <w:sz w:val="20"/>
              </w:rPr>
              <w:t xml:space="preserve">Комплекс процессных ме</w:t>
            </w:r>
            <w:r>
              <w:rPr>
                <w:color w:val="000000" w:themeColor="text1"/>
                <w:sz w:val="20"/>
                <w:szCs w:val="20"/>
              </w:rPr>
              <w:t xml:space="preserve">роприятий «</w:t>
            </w:r>
            <w:r>
              <w:rPr>
                <w:color w:val="000000" w:themeColor="text1"/>
                <w:sz w:val="20"/>
                <w:szCs w:val="20"/>
              </w:rPr>
              <w:t xml:space="preserve">Обеспечение безопасности жизнедеятельности </w:t>
            </w:r>
            <w:r>
              <w:rPr>
                <w:color w:val="000000" w:themeColor="text1"/>
                <w:sz w:val="20"/>
                <w:szCs w:val="20"/>
              </w:rPr>
              <w:t xml:space="preserve">населения Малотроицкого сельского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</w:tc>
        <w:tc>
          <w:tcPr>
            <w:gridSpan w:val="2"/>
            <w:tcW w:w="850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left"/>
              <w:spacing w:after="0" w:afterAutospacing="0" w:line="240" w:lineRule="auto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49" w:type="dxa"/>
            <w:vAlign w:val="center"/>
            <w:textDirection w:val="lrTb"/>
            <w:noWrap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color w:val="7030a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рамках реализации  план</w:t>
            </w:r>
            <w:r>
              <w:rPr>
                <w:color w:val="000000" w:themeColor="text1"/>
                <w:sz w:val="20"/>
              </w:rPr>
              <w:t xml:space="preserve">ируется  проведение мероприятий по обеспечению пожарной безопасности, что приведет к уменьшению площади территории подвергающейся пожарам.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1554" w:type="dxa"/>
            <w:textDirection w:val="lrTb"/>
            <w:noWrap/>
          </w:tcPr>
          <w:p>
            <w:pPr>
              <w:ind w:firstLine="0"/>
              <w:jc w:val="center"/>
              <w:spacing w:after="0" w:afterAutospacing="0" w:line="240" w:lineRule="auto"/>
              <w:widowControl w:val="off"/>
              <w:rPr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Площадь территории, подвергающаяся пожарам</w:t>
            </w:r>
            <w:r>
              <w:rPr>
                <w:color w:val="000000" w:themeColor="text1"/>
                <w:sz w:val="20"/>
                <w:highlight w:val="yellow"/>
              </w:rPr>
            </w:r>
            <w:r>
              <w:rPr>
                <w:color w:val="000000" w:themeColor="text1"/>
                <w:sz w:val="20"/>
                <w:highlight w:val="yellow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муниципальной программы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blPrEx/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Устойчивое развитие сельских территорий Малотроицкого сельского поселения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ind w:firstLine="0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 xml:space="preserve">Чернянского района Белгородской области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highlight w:val="white"/>
              </w:rPr>
              <w:t xml:space="preserve">(всего),                      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909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6862,8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4094,2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24715,8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________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after="0" w:afterAutospacing="0" w:line="240" w:lineRule="auto"/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Паспорт комплекса процессных мероприятий «Повышение уровня благоустройства территории»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(далее комплекс процессных мероприятий - 1)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4"/>
          <w:szCs w:val="24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1. Общие положения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spacing w:after="0" w:afterAutospacing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blPrEx/>
        <w:trPr>
          <w:jc w:val="center"/>
          <w:trHeight w:val="516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i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Администрация Малотроицкого сельского поселения 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spacing w:after="0" w:afterAutospacing="0" w:line="240" w:lineRule="auto"/>
              <w:rPr>
                <w:rFonts w:eastAsia="Arial"/>
                <w:bCs/>
                <w:i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Показатели комплекса процессных мероприятий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afterAutospacing="0"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blPrEx/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Style w:val="962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 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Cs/>
                <w:sz w:val="20"/>
              </w:rPr>
            </w:pPr>
            <w:r>
              <w:rPr>
                <w:rStyle w:val="962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23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3. Помесячный план достижения показателей комплекса процессных мероприятий 1  в 2025 году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after="0" w:afterAutospacing="0" w:line="240" w:lineRule="auto"/>
      </w:pPr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433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55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1  «</w:t>
            </w:r>
            <w:r>
              <w:rPr>
                <w:b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  <w:t xml:space="preserve">»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/>
                <w:i/>
                <w:sz w:val="20"/>
              </w:rPr>
            </w:pPr>
            <w:r>
              <w:rPr>
                <w:rStyle w:val="962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Cs/>
                <w:sz w:val="20"/>
              </w:rPr>
            </w:pPr>
            <w:r>
              <w:rPr>
                <w:rStyle w:val="962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8"/>
          <w:szCs w:val="28"/>
        </w:rPr>
        <w:t xml:space="preserve">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spacing w:after="0" w:afterAutospacing="0" w:line="240" w:lineRule="auto"/>
      </w:pPr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spacing w:after="0" w:afterAutospacing="0" w:line="240" w:lineRule="auto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blPrEx/>
        <w:trPr>
          <w:trHeight w:val="7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Приобретение товаров, работ, услуг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Количество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ind w:left="108"/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108"/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70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77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104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80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Style w:val="962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Style w:val="962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spacing w:after="0" w:afterAutospacing="0" w:line="240" w:lineRule="auto"/>
              <w:rPr>
                <w:rStyle w:val="962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2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2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1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993"/>
        <w:gridCol w:w="992"/>
        <w:gridCol w:w="943"/>
      </w:tblGrid>
      <w:tr>
        <w:tblPrEx/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afterAutospacing="0" w:line="240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Повышение уровня благоустройства территории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5484,8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2061,7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061,7  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16447,8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0"/>
                <w:highlight w:val="white"/>
              </w:rPr>
              <w:t xml:space="preserve">Осуществлено благоустройство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5484,8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16447,8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1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spacing w:after="0" w:afterAutospacing="0" w:line="240" w:lineRule="auto"/>
      </w:pPr>
      <w:r/>
      <w:r/>
    </w:p>
    <w:tbl>
      <w:tblPr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blPrEx/>
        <w:trPr>
          <w:trHeight w:val="46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5"/>
              <w:ind w:left="173" w:right="158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подтверждающего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 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поселения», ежегодно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1.1.К.1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</w:t>
            </w:r>
            <w:r>
              <w:rPr>
                <w:bCs/>
                <w:sz w:val="20"/>
              </w:rPr>
              <w:t xml:space="preserve">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приемка поставленных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приемки</w:t>
            </w:r>
            <w:r>
              <w:rPr>
                <w:bCs/>
                <w:sz w:val="20"/>
              </w:rPr>
              <w:t xml:space="preserve">, акт выполненных работ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оплата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  <w:p>
            <w:pPr>
              <w:spacing w:after="0" w:afterAutospacing="0"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 июнь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both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0"/>
        <w:jc w:val="center"/>
        <w:spacing w:after="0" w:afterAutospacing="0" w:line="240" w:lineRule="auto"/>
        <w:widowControl w:val="off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комплекса процессных мероприятий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color w:val="000000" w:themeColor="text1"/>
          <w:sz w:val="28"/>
          <w:szCs w:val="28"/>
        </w:rPr>
        <w:t xml:space="preserve">Обеспечению безопасности жизнедеятельности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населения Малотроицкого сельского поселения»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(далее комплекс процессных мероприятий - 2)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8"/>
          <w:szCs w:val="28"/>
        </w:rPr>
        <w:t xml:space="preserve">1. Общие положения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spacing w:after="0" w:afterAutospacing="0" w:line="240" w:lineRule="auto"/>
      </w:pPr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blPrEx/>
        <w:trPr>
          <w:jc w:val="center"/>
          <w:trHeight w:val="516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</w:rPr>
              <w:t xml:space="preserve">Администрация Малотроицкого сельского поселения (муниципального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</w:rPr>
            </w:r>
            <w:r>
              <w:rPr>
                <w:rFonts w:eastAsia="Arial"/>
                <w:bCs/>
                <w:i/>
                <w:sz w:val="20"/>
              </w:rPr>
            </w:r>
          </w:p>
        </w:tc>
      </w:tr>
      <w:tr>
        <w:tblPrEx/>
        <w:trPr>
          <w:jc w:val="center"/>
          <w:trHeight w:val="210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after="0" w:afterAutospacing="0" w:line="240" w:lineRule="auto"/>
              <w:rPr>
                <w:rFonts w:eastAsia="Arial"/>
                <w:bCs/>
                <w:i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b/>
          <w:bCs/>
          <w:sz w:val="28"/>
          <w:szCs w:val="28"/>
        </w:rPr>
        <w:t xml:space="preserve">2. Показатели комплекса процессных мероприятий 2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blPrEx/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Cs/>
                <w:i/>
                <w:sz w:val="20"/>
              </w:rPr>
              <w:t xml:space="preserve">»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blPrEx/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 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гектары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3. Помесячный план достижения показателей комплекса процессных мероприятий 2 в 2025 году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spacing w:after="0" w:afterAutospacing="0" w:line="240" w:lineRule="auto"/>
      </w:pPr>
      <w:r/>
      <w:r/>
    </w:p>
    <w:tbl>
      <w:tblPr>
        <w:tblW w:w="500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50"/>
        <w:gridCol w:w="2829"/>
        <w:gridCol w:w="1464"/>
        <w:gridCol w:w="1497"/>
        <w:gridCol w:w="788"/>
        <w:gridCol w:w="788"/>
        <w:gridCol w:w="689"/>
        <w:gridCol w:w="787"/>
        <w:gridCol w:w="778"/>
        <w:gridCol w:w="741"/>
        <w:gridCol w:w="742"/>
        <w:gridCol w:w="629"/>
        <w:gridCol w:w="629"/>
        <w:gridCol w:w="629"/>
        <w:gridCol w:w="631"/>
        <w:gridCol w:w="1100"/>
      </w:tblGrid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/>
                <w:i/>
                <w:sz w:val="20"/>
              </w:rPr>
            </w:pP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гектары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Cs w:val="28"/>
        </w:rPr>
        <w:t xml:space="preserve"> 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spacing w:after="0" w:afterAutospacing="0" w:line="240" w:lineRule="auto"/>
      </w:pPr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spacing w:after="0" w:afterAutospacing="0" w:line="240" w:lineRule="auto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i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blPrEx/>
        <w:trPr>
          <w:trHeight w:val="7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 )  «Организована работа по профилактике возникновения пожаров на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Осуществление текущей деятельности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highlight w:val="none"/>
              </w:rPr>
              <w:t xml:space="preserve">гектары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08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108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spacing w:after="0" w:afterAutospacing="0" w:line="240" w:lineRule="auto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spacing w:after="0" w:afterAutospacing="0" w:line="240" w:lineRule="auto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осуществляется комплекс мероприятий, направленных на обеспечение пожарной безопасности.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spacing w:after="0" w:afterAutospacing="0" w:line="240" w:lineRule="auto"/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both"/>
        <w:spacing w:after="0" w:afterAutospacing="0" w:line="240" w:lineRule="auto"/>
      </w:pPr>
      <w:r/>
      <w:r/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2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Style w:val="953"/>
        <w:tblW w:w="506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3"/>
        <w:gridCol w:w="1871"/>
        <w:gridCol w:w="1472"/>
        <w:gridCol w:w="1030"/>
        <w:gridCol w:w="883"/>
        <w:gridCol w:w="883"/>
        <w:gridCol w:w="1031"/>
        <w:gridCol w:w="1030"/>
        <w:gridCol w:w="980"/>
      </w:tblGrid>
      <w:tr>
        <w:tblPrEx/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71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widowControl w:val="off"/>
              <w:rPr>
                <w:color w:val="000000" w:themeColor="text1"/>
                <w:sz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Обеспечению безопасности жизнедеятельности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населения Малотроицкого сельского поселения»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всего,                                 в том числе: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8268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90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afterAutospacing="0" w:line="240" w:lineRule="auto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2"/>
                <w:szCs w:val="22"/>
              </w:rPr>
              <w:t xml:space="preserve">Организована работа по профилактике возникновения пожаров на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187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8268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after="0" w:afterAutospacing="0" w:line="240" w:lineRule="auto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after="0" w:afterAutospacing="0" w:line="240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spacing w:after="0" w:afterAutospacing="0" w:line="240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after="0" w:afterAutospacing="0" w:line="240" w:lineRule="auto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after="0" w:afterAutospacing="0" w:line="240" w:lineRule="auto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</w:rPr>
        <w:t xml:space="preserve">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spacing w:after="0" w:afterAutospacing="0" w:line="240" w:lineRule="auto"/>
        <w:rPr>
          <w:rFonts w:eastAsia="Calibri"/>
          <w:color w:val="ff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ff0000"/>
          <w:sz w:val="20"/>
        </w:rPr>
        <w:t xml:space="preserve">.</w:t>
      </w:r>
      <w:r>
        <w:rPr>
          <w:rFonts w:eastAsia="Calibri"/>
          <w:color w:val="ff0000"/>
          <w:sz w:val="20"/>
        </w:rPr>
      </w:r>
      <w:r>
        <w:rPr>
          <w:rFonts w:eastAsia="Calibri"/>
          <w:color w:val="ff0000"/>
          <w:sz w:val="20"/>
        </w:rPr>
      </w:r>
    </w:p>
    <w:tbl>
      <w:tblPr>
        <w:tblStyle w:val="799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blPrEx/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5"/>
              <w:ind w:left="173" w:right="158"/>
              <w:jc w:val="center"/>
              <w:spacing w:after="0" w:afterAutospacing="0"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Задача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«</w:t>
            </w:r>
            <w:r>
              <w:rPr>
                <w:b w:val="0"/>
                <w:bCs w:val="0"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 w:val="0"/>
                <w:bCs w:val="0"/>
                <w:i/>
                <w:sz w:val="20"/>
              </w:rPr>
              <w:t xml:space="preserve">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2025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2026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2027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spacing w:after="0" w:afterAutospacing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  <w:highlight w:val="none"/>
        </w:rPr>
      </w:pPr>
      <w:r>
        <w:rPr>
          <w:b/>
          <w:bCs/>
          <w:szCs w:val="28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after="0" w:afterAutospacing="0" w:line="240" w:lineRule="auto"/>
        <w:rPr>
          <w:b/>
          <w:bCs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4850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639"/>
        <w:gridCol w:w="1701"/>
        <w:gridCol w:w="1841"/>
        <w:gridCol w:w="1555"/>
        <w:gridCol w:w="2132"/>
        <w:gridCol w:w="2126"/>
      </w:tblGrid>
      <w:tr>
        <w:tblPrEx/>
        <w:trPr>
          <w:trHeight w:val="10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характеристики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ind w:hanging="337"/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посещаемости детской площадки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0" w:afterAutospacing="0" w:line="240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Площадь территории, подвергающаяся пожарам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9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га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ежегодно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1" w:type="dxa"/>
            <w:vMerge w:val="restart"/>
            <w:textDirection w:val="lrTb"/>
            <w:noWrap w:val="false"/>
          </w:tcPr>
          <w:p>
            <w:pPr>
              <w:pStyle w:val="926"/>
              <w:jc w:val="center"/>
              <w:spacing w:after="0" w:afterAutospacing="0" w:line="240" w:lineRule="auto"/>
              <w:rPr>
                <w:color w:val="000000" w:themeColor="text1"/>
                <w:spacing w:val="-2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Внутренняя отчетность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до 10 января следующего за отчетным годом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jc w:val="both"/>
        <w:spacing w:after="0" w:afterAutospacing="0"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sectPr>
      <w:footnotePr/>
      <w:endnotePr/>
      <w:type w:val="nextPage"/>
      <w:pgSz w:w="16838" w:h="11906" w:orient="landscape"/>
      <w:pgMar w:top="1134" w:right="850" w:bottom="567" w:left="85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 w:default="1">
    <w:name w:val="Normal"/>
    <w:rPr>
      <w:sz w:val="28"/>
    </w:rPr>
  </w:style>
  <w:style w:type="paragraph" w:styleId="747">
    <w:name w:val="Heading 1"/>
    <w:basedOn w:val="746"/>
    <w:next w:val="746"/>
    <w:link w:val="774"/>
    <w:pPr>
      <w:jc w:val="center"/>
      <w:keepNext/>
      <w:outlineLvl w:val="0"/>
    </w:pPr>
    <w:rPr>
      <w:sz w:val="36"/>
    </w:rPr>
  </w:style>
  <w:style w:type="paragraph" w:styleId="748">
    <w:name w:val="Heading 2"/>
    <w:basedOn w:val="746"/>
    <w:next w:val="746"/>
    <w:link w:val="775"/>
    <w:pPr>
      <w:jc w:val="center"/>
      <w:keepNext/>
      <w:outlineLvl w:val="1"/>
    </w:pPr>
    <w:rPr>
      <w:b/>
      <w:bCs/>
    </w:rPr>
  </w:style>
  <w:style w:type="paragraph" w:styleId="749">
    <w:name w:val="Heading 3"/>
    <w:basedOn w:val="746"/>
    <w:next w:val="746"/>
    <w:link w:val="776"/>
    <w:pPr>
      <w:jc w:val="center"/>
      <w:keepNext/>
      <w:outlineLvl w:val="2"/>
    </w:pPr>
  </w:style>
  <w:style w:type="paragraph" w:styleId="750">
    <w:name w:val="Heading 4"/>
    <w:basedOn w:val="746"/>
    <w:next w:val="746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746"/>
    <w:next w:val="746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746"/>
    <w:next w:val="746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746"/>
    <w:next w:val="746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</w:style>
  <w:style w:type="table" w:styleId="7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8" w:default="1">
    <w:name w:val="No List"/>
    <w:uiPriority w:val="99"/>
    <w:semiHidden/>
    <w:unhideWhenUsed/>
  </w:style>
  <w:style w:type="character" w:styleId="75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uiPriority w:val="9"/>
    <w:rPr>
      <w:rFonts w:ascii="Arial" w:hAnsi="Arial" w:eastAsia="Arial" w:cs="Arial"/>
      <w:sz w:val="34"/>
    </w:rPr>
  </w:style>
  <w:style w:type="character" w:styleId="76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uiPriority w:val="10"/>
    <w:rPr>
      <w:sz w:val="48"/>
      <w:szCs w:val="48"/>
    </w:rPr>
  </w:style>
  <w:style w:type="character" w:styleId="769" w:customStyle="1">
    <w:name w:val="Subtitle Char"/>
    <w:uiPriority w:val="11"/>
    <w:rPr>
      <w:sz w:val="24"/>
      <w:szCs w:val="24"/>
    </w:rPr>
  </w:style>
  <w:style w:type="character" w:styleId="770" w:customStyle="1">
    <w:name w:val="Quote Char"/>
    <w:uiPriority w:val="29"/>
    <w:rPr>
      <w:i/>
    </w:rPr>
  </w:style>
  <w:style w:type="character" w:styleId="771" w:customStyle="1">
    <w:name w:val="Intense Quote Char"/>
    <w:uiPriority w:val="30"/>
    <w:rPr>
      <w:i/>
    </w:rPr>
  </w:style>
  <w:style w:type="character" w:styleId="772" w:customStyle="1">
    <w:name w:val="Footnote Text Char"/>
    <w:uiPriority w:val="99"/>
    <w:rPr>
      <w:sz w:val="18"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link w:val="748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1"/>
    <w:link w:val="749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link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link w:val="754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List Paragraph"/>
    <w:basedOn w:val="746"/>
    <w:uiPriority w:val="34"/>
    <w:qFormat/>
    <w:pPr>
      <w:contextualSpacing/>
      <w:ind w:left="720"/>
    </w:pPr>
  </w:style>
  <w:style w:type="paragraph" w:styleId="784">
    <w:name w:val="No Spacing"/>
    <w:uiPriority w:val="1"/>
    <w:qFormat/>
    <w:rPr>
      <w:lang w:eastAsia="zh-CN"/>
    </w:rPr>
  </w:style>
  <w:style w:type="paragraph" w:styleId="785">
    <w:name w:val="Title"/>
    <w:basedOn w:val="746"/>
    <w:next w:val="746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 w:customStyle="1">
    <w:name w:val="Заголовок Знак"/>
    <w:link w:val="785"/>
    <w:uiPriority w:val="10"/>
    <w:rPr>
      <w:sz w:val="48"/>
      <w:szCs w:val="48"/>
    </w:rPr>
  </w:style>
  <w:style w:type="paragraph" w:styleId="787">
    <w:name w:val="Subtitle"/>
    <w:basedOn w:val="746"/>
    <w:next w:val="746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 w:customStyle="1">
    <w:name w:val="Подзаголовок Знак"/>
    <w:link w:val="787"/>
    <w:uiPriority w:val="11"/>
    <w:rPr>
      <w:sz w:val="24"/>
      <w:szCs w:val="24"/>
    </w:rPr>
  </w:style>
  <w:style w:type="paragraph" w:styleId="789">
    <w:name w:val="Quote"/>
    <w:basedOn w:val="746"/>
    <w:next w:val="746"/>
    <w:link w:val="790"/>
    <w:uiPriority w:val="29"/>
    <w:qFormat/>
    <w:pPr>
      <w:ind w:left="720" w:right="720"/>
    </w:pPr>
    <w:rPr>
      <w:i/>
    </w:rPr>
  </w:style>
  <w:style w:type="character" w:styleId="790" w:customStyle="1">
    <w:name w:val="Цитата 2 Знак"/>
    <w:link w:val="789"/>
    <w:uiPriority w:val="29"/>
    <w:rPr>
      <w:i/>
    </w:rPr>
  </w:style>
  <w:style w:type="paragraph" w:styleId="791">
    <w:name w:val="Intense Quote"/>
    <w:basedOn w:val="746"/>
    <w:next w:val="746"/>
    <w:link w:val="7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 w:customStyle="1">
    <w:name w:val="Выделенная цитата Знак"/>
    <w:link w:val="791"/>
    <w:uiPriority w:val="30"/>
    <w:rPr>
      <w:i/>
    </w:rPr>
  </w:style>
  <w:style w:type="paragraph" w:styleId="793">
    <w:name w:val="Header"/>
    <w:basedOn w:val="746"/>
    <w:link w:val="94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4" w:customStyle="1">
    <w:name w:val="Header Char"/>
    <w:uiPriority w:val="99"/>
  </w:style>
  <w:style w:type="paragraph" w:styleId="795">
    <w:name w:val="Footer"/>
    <w:basedOn w:val="746"/>
    <w:link w:val="9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6" w:customStyle="1">
    <w:name w:val="Footer Char"/>
    <w:uiPriority w:val="99"/>
  </w:style>
  <w:style w:type="paragraph" w:styleId="797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8" w:customStyle="1">
    <w:name w:val="Caption Char"/>
    <w:uiPriority w:val="99"/>
  </w:style>
  <w:style w:type="table" w:styleId="799">
    <w:name w:val="Table Grid"/>
    <w:basedOn w:val="757"/>
    <w:tblPr/>
  </w:style>
  <w:style w:type="table" w:styleId="8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5">
    <w:name w:val="Hyperlink"/>
    <w:rPr>
      <w:color w:val="0000ff"/>
      <w:u w:val="single"/>
    </w:rPr>
  </w:style>
  <w:style w:type="paragraph" w:styleId="926">
    <w:name w:val="footnote text"/>
    <w:basedOn w:val="746"/>
    <w:link w:val="927"/>
    <w:uiPriority w:val="99"/>
    <w:semiHidden/>
    <w:unhideWhenUsed/>
    <w:pPr>
      <w:spacing w:after="40"/>
    </w:pPr>
    <w:rPr>
      <w:sz w:val="18"/>
    </w:rPr>
  </w:style>
  <w:style w:type="character" w:styleId="927" w:customStyle="1">
    <w:name w:val="Текст сноски Знак"/>
    <w:link w:val="926"/>
    <w:uiPriority w:val="99"/>
    <w:rPr>
      <w:sz w:val="18"/>
    </w:rPr>
  </w:style>
  <w:style w:type="character" w:styleId="928">
    <w:name w:val="footnote reference"/>
    <w:uiPriority w:val="99"/>
    <w:unhideWhenUsed/>
    <w:rPr>
      <w:vertAlign w:val="superscript"/>
    </w:rPr>
  </w:style>
  <w:style w:type="paragraph" w:styleId="929">
    <w:name w:val="endnote text"/>
    <w:basedOn w:val="746"/>
    <w:link w:val="930"/>
    <w:uiPriority w:val="99"/>
    <w:semiHidden/>
    <w:unhideWhenUsed/>
    <w:rPr>
      <w:sz w:val="20"/>
    </w:rPr>
  </w:style>
  <w:style w:type="character" w:styleId="930" w:customStyle="1">
    <w:name w:val="Текст концевой сноски Знак"/>
    <w:link w:val="929"/>
    <w:uiPriority w:val="99"/>
    <w:rPr>
      <w:sz w:val="20"/>
    </w:rPr>
  </w:style>
  <w:style w:type="character" w:styleId="931">
    <w:name w:val="endnote reference"/>
    <w:uiPriority w:val="99"/>
    <w:semiHidden/>
    <w:unhideWhenUsed/>
    <w:rPr>
      <w:vertAlign w:val="superscript"/>
    </w:rPr>
  </w:style>
  <w:style w:type="paragraph" w:styleId="932">
    <w:name w:val="toc 1"/>
    <w:basedOn w:val="746"/>
    <w:next w:val="746"/>
    <w:uiPriority w:val="39"/>
    <w:unhideWhenUsed/>
    <w:pPr>
      <w:spacing w:after="57"/>
    </w:pPr>
  </w:style>
  <w:style w:type="paragraph" w:styleId="933">
    <w:name w:val="toc 2"/>
    <w:basedOn w:val="746"/>
    <w:next w:val="746"/>
    <w:uiPriority w:val="39"/>
    <w:unhideWhenUsed/>
    <w:pPr>
      <w:ind w:left="283"/>
      <w:spacing w:after="57"/>
    </w:pPr>
  </w:style>
  <w:style w:type="paragraph" w:styleId="934">
    <w:name w:val="toc 3"/>
    <w:basedOn w:val="746"/>
    <w:next w:val="746"/>
    <w:uiPriority w:val="39"/>
    <w:unhideWhenUsed/>
    <w:pPr>
      <w:ind w:left="567"/>
      <w:spacing w:after="57"/>
    </w:pPr>
  </w:style>
  <w:style w:type="paragraph" w:styleId="935">
    <w:name w:val="toc 4"/>
    <w:basedOn w:val="746"/>
    <w:next w:val="746"/>
    <w:uiPriority w:val="39"/>
    <w:unhideWhenUsed/>
    <w:pPr>
      <w:ind w:left="850"/>
      <w:spacing w:after="57"/>
    </w:pPr>
  </w:style>
  <w:style w:type="paragraph" w:styleId="936">
    <w:name w:val="toc 5"/>
    <w:basedOn w:val="746"/>
    <w:next w:val="746"/>
    <w:uiPriority w:val="39"/>
    <w:unhideWhenUsed/>
    <w:pPr>
      <w:ind w:left="1134"/>
      <w:spacing w:after="57"/>
    </w:pPr>
  </w:style>
  <w:style w:type="paragraph" w:styleId="937">
    <w:name w:val="toc 6"/>
    <w:basedOn w:val="746"/>
    <w:next w:val="746"/>
    <w:uiPriority w:val="39"/>
    <w:unhideWhenUsed/>
    <w:pPr>
      <w:ind w:left="1417"/>
      <w:spacing w:after="57"/>
    </w:pPr>
  </w:style>
  <w:style w:type="paragraph" w:styleId="938">
    <w:name w:val="toc 7"/>
    <w:basedOn w:val="746"/>
    <w:next w:val="746"/>
    <w:uiPriority w:val="39"/>
    <w:unhideWhenUsed/>
    <w:pPr>
      <w:ind w:left="1701"/>
      <w:spacing w:after="57"/>
    </w:pPr>
  </w:style>
  <w:style w:type="paragraph" w:styleId="939">
    <w:name w:val="toc 8"/>
    <w:basedOn w:val="746"/>
    <w:next w:val="746"/>
    <w:uiPriority w:val="39"/>
    <w:unhideWhenUsed/>
    <w:pPr>
      <w:ind w:left="1984"/>
      <w:spacing w:after="57"/>
    </w:pPr>
  </w:style>
  <w:style w:type="paragraph" w:styleId="940">
    <w:name w:val="toc 9"/>
    <w:basedOn w:val="746"/>
    <w:next w:val="746"/>
    <w:uiPriority w:val="39"/>
    <w:unhideWhenUsed/>
    <w:pPr>
      <w:ind w:left="2268"/>
      <w:spacing w:after="57"/>
    </w:pPr>
  </w:style>
  <w:style w:type="paragraph" w:styleId="941">
    <w:name w:val="TOC Heading"/>
    <w:uiPriority w:val="39"/>
    <w:unhideWhenUsed/>
    <w:rPr>
      <w:lang w:eastAsia="zh-CN"/>
    </w:rPr>
  </w:style>
  <w:style w:type="paragraph" w:styleId="942">
    <w:name w:val="table of figures"/>
    <w:basedOn w:val="746"/>
    <w:next w:val="746"/>
    <w:uiPriority w:val="99"/>
    <w:unhideWhenUsed/>
  </w:style>
  <w:style w:type="paragraph" w:styleId="943">
    <w:name w:val="Body Text Indent"/>
    <w:basedOn w:val="746"/>
    <w:pPr>
      <w:ind w:firstLine="720"/>
      <w:jc w:val="both"/>
      <w:spacing w:line="360" w:lineRule="auto"/>
    </w:pPr>
  </w:style>
  <w:style w:type="paragraph" w:styleId="944">
    <w:name w:val="Balloon Text"/>
    <w:basedOn w:val="746"/>
    <w:semiHidden/>
    <w:rPr>
      <w:rFonts w:ascii="Tahoma" w:hAnsi="Tahoma"/>
      <w:sz w:val="16"/>
      <w:szCs w:val="16"/>
    </w:rPr>
  </w:style>
  <w:style w:type="paragraph" w:styleId="945" w:customStyle="1">
    <w:name w:val="Знак"/>
    <w:basedOn w:val="74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946" w:customStyle="1">
    <w:name w:val="Основной текст_"/>
    <w:link w:val="948"/>
    <w:rPr>
      <w:sz w:val="28"/>
      <w:szCs w:val="28"/>
      <w:shd w:val="clear" w:color="auto" w:fill="ffffff"/>
    </w:rPr>
  </w:style>
  <w:style w:type="character" w:styleId="94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48" w:customStyle="1">
    <w:name w:val="Основной текст1"/>
    <w:basedOn w:val="746"/>
    <w:link w:val="94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49" w:customStyle="1">
    <w:name w:val="Верхний колонтитул Знак"/>
    <w:link w:val="793"/>
    <w:rPr>
      <w:sz w:val="28"/>
    </w:rPr>
  </w:style>
  <w:style w:type="character" w:styleId="950" w:customStyle="1">
    <w:name w:val="Нижний колонтитул Знак"/>
    <w:link w:val="795"/>
    <w:rPr>
      <w:sz w:val="28"/>
    </w:rPr>
  </w:style>
  <w:style w:type="paragraph" w:styleId="951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table" w:styleId="952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3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4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55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56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57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5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59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paragraph" w:styleId="960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sz w:val="22"/>
      <w:szCs w:val="22"/>
    </w:rPr>
  </w:style>
  <w:style w:type="paragraph" w:styleId="961" w:customStyle="1">
    <w:name w:val="Абзац списка1"/>
    <w:basedOn w:val="746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962">
    <w:name w:val="Strong"/>
    <w:uiPriority w:val="22"/>
    <w:qFormat/>
    <w:rPr>
      <w:b/>
      <w:bCs/>
    </w:rPr>
  </w:style>
  <w:style w:type="paragraph" w:styleId="963" w:customStyle="1">
    <w:name w:val="Абзац списка2"/>
    <w:basedOn w:val="746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964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5" w:customStyle="1">
    <w:name w:val="Без интервала"/>
    <w:next w:val="889"/>
    <w:link w:val="84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357927&amp;date=27.08.2024" TargetMode="External"/><Relationship Id="rId17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518F-67B9-4066-A036-8EB31577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95</cp:revision>
  <dcterms:created xsi:type="dcterms:W3CDTF">2024-10-04T08:23:00Z</dcterms:created>
  <dcterms:modified xsi:type="dcterms:W3CDTF">2025-04-10T08:58:10Z</dcterms:modified>
</cp:coreProperties>
</file>